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83A" w:rsidRDefault="00672475" w:rsidP="00DE5A5A">
      <w:pPr>
        <w:pStyle w:val="Ttulo"/>
        <w:spacing w:after="0"/>
        <w:jc w:val="both"/>
        <w:rPr>
          <w:rFonts w:asciiTheme="minorHAnsi" w:eastAsiaTheme="minorHAnsi" w:hAnsiTheme="minorHAnsi" w:cstheme="minorBidi"/>
          <w:color w:val="auto"/>
          <w:spacing w:val="0"/>
          <w:kern w:val="0"/>
          <w:sz w:val="24"/>
          <w:szCs w:val="22"/>
          <w:u w:val="single"/>
        </w:rPr>
      </w:pPr>
      <w:r w:rsidRPr="00672475">
        <w:t>Monopolio</w:t>
      </w:r>
      <w:r w:rsidR="003D4D0C">
        <w:t xml:space="preserve"> </w:t>
      </w:r>
      <w:r w:rsidR="003D4D0C" w:rsidRPr="003D4D0C">
        <w:rPr>
          <w:sz w:val="32"/>
        </w:rPr>
        <w:t xml:space="preserve">(capítulo 15, </w:t>
      </w:r>
      <w:proofErr w:type="spellStart"/>
      <w:r w:rsidR="003D4D0C" w:rsidRPr="003D4D0C">
        <w:rPr>
          <w:sz w:val="32"/>
        </w:rPr>
        <w:t>G.Mankiw</w:t>
      </w:r>
      <w:proofErr w:type="spellEnd"/>
      <w:r w:rsidR="003D4D0C" w:rsidRPr="003D4D0C">
        <w:rPr>
          <w:sz w:val="32"/>
        </w:rPr>
        <w:t>)</w:t>
      </w:r>
      <w:r w:rsidR="003D4D0C" w:rsidRPr="003D4D0C">
        <w:rPr>
          <w:rFonts w:asciiTheme="minorHAnsi" w:eastAsiaTheme="minorHAnsi" w:hAnsiTheme="minorHAnsi" w:cstheme="minorBidi"/>
          <w:color w:val="auto"/>
          <w:spacing w:val="0"/>
          <w:kern w:val="0"/>
          <w:sz w:val="24"/>
          <w:szCs w:val="22"/>
          <w:u w:val="single"/>
        </w:rPr>
        <w:t xml:space="preserve"> </w:t>
      </w:r>
    </w:p>
    <w:p w:rsidR="00DE5A5A" w:rsidRPr="00DE5A5A" w:rsidRDefault="00DE5A5A" w:rsidP="00DE5A5A"/>
    <w:p w:rsidR="006E071F" w:rsidRDefault="00672475" w:rsidP="003D4D0C">
      <w:pPr>
        <w:spacing w:after="0"/>
        <w:jc w:val="both"/>
        <w:rPr>
          <w:sz w:val="24"/>
        </w:rPr>
      </w:pPr>
      <w:r w:rsidRPr="00672475">
        <w:rPr>
          <w:sz w:val="24"/>
          <w:u w:val="single"/>
        </w:rPr>
        <w:t xml:space="preserve">Características: </w:t>
      </w:r>
      <w:r>
        <w:rPr>
          <w:sz w:val="24"/>
        </w:rPr>
        <w:br/>
        <w:t>Hay sólo una firma en el mercado, la cual vende un producto que no tiene sustitutos cercanos.</w:t>
      </w:r>
      <w:r>
        <w:rPr>
          <w:sz w:val="24"/>
        </w:rPr>
        <w:br/>
        <w:t xml:space="preserve">El monopolio es </w:t>
      </w:r>
      <w:r w:rsidRPr="00672475">
        <w:rPr>
          <w:i/>
          <w:sz w:val="24"/>
        </w:rPr>
        <w:t>precio-decisor</w:t>
      </w:r>
      <w:r>
        <w:rPr>
          <w:sz w:val="24"/>
        </w:rPr>
        <w:t xml:space="preserve">, </w:t>
      </w:r>
      <w:r w:rsidR="006E071F">
        <w:rPr>
          <w:sz w:val="24"/>
        </w:rPr>
        <w:t xml:space="preserve">no toma el precio de mercado como las empresas competitivas, </w:t>
      </w:r>
      <w:r>
        <w:rPr>
          <w:sz w:val="24"/>
        </w:rPr>
        <w:t>pero aunque puede controlar los precios de sus bienes los beneficios no son ilimitados, debido a que precios altos reducen la cantidad</w:t>
      </w:r>
      <w:r w:rsidR="006E071F">
        <w:rPr>
          <w:sz w:val="24"/>
        </w:rPr>
        <w:t xml:space="preserve"> demandada. </w:t>
      </w:r>
    </w:p>
    <w:p w:rsidR="003D4D0C" w:rsidRDefault="003D4D0C" w:rsidP="003D4D0C">
      <w:pPr>
        <w:spacing w:after="0"/>
        <w:jc w:val="both"/>
        <w:rPr>
          <w:sz w:val="24"/>
        </w:rPr>
      </w:pPr>
    </w:p>
    <w:p w:rsidR="003D4D0C" w:rsidRDefault="00672475" w:rsidP="003D4D0C">
      <w:pPr>
        <w:spacing w:after="0"/>
        <w:jc w:val="both"/>
        <w:rPr>
          <w:sz w:val="24"/>
          <w:u w:val="single"/>
        </w:rPr>
      </w:pPr>
      <w:r w:rsidRPr="00672475">
        <w:rPr>
          <w:sz w:val="24"/>
          <w:u w:val="single"/>
        </w:rPr>
        <w:t>Tipos de monopolio:</w:t>
      </w:r>
    </w:p>
    <w:p w:rsidR="003D4D0C" w:rsidRDefault="003D4D0C" w:rsidP="003D4D0C">
      <w:pPr>
        <w:spacing w:after="0"/>
        <w:jc w:val="both"/>
        <w:rPr>
          <w:sz w:val="24"/>
        </w:rPr>
      </w:pPr>
      <w:r>
        <w:rPr>
          <w:i/>
          <w:sz w:val="24"/>
        </w:rPr>
        <w:t>-</w:t>
      </w:r>
      <w:r w:rsidR="00672475" w:rsidRPr="00672475">
        <w:rPr>
          <w:i/>
          <w:sz w:val="24"/>
        </w:rPr>
        <w:t>Por recurso clave</w:t>
      </w:r>
      <w:r w:rsidR="00672475">
        <w:rPr>
          <w:sz w:val="24"/>
        </w:rPr>
        <w:t>: ejemplo, en un pequeño pueblo sólo una persona tiene un pozo con agua, en este caso esa persona poseería el monopolio del agua</w:t>
      </w:r>
    </w:p>
    <w:p w:rsidR="003D4D0C" w:rsidRDefault="003D4D0C" w:rsidP="003D4D0C">
      <w:pPr>
        <w:spacing w:after="0"/>
        <w:jc w:val="both"/>
        <w:rPr>
          <w:sz w:val="24"/>
        </w:rPr>
      </w:pPr>
      <w:r>
        <w:rPr>
          <w:i/>
          <w:sz w:val="24"/>
        </w:rPr>
        <w:t>-</w:t>
      </w:r>
      <w:r w:rsidR="00672475" w:rsidRPr="00672475">
        <w:rPr>
          <w:i/>
          <w:sz w:val="24"/>
        </w:rPr>
        <w:t>Creado por el Gobierno</w:t>
      </w:r>
      <w:r w:rsidR="00672475">
        <w:rPr>
          <w:sz w:val="24"/>
        </w:rPr>
        <w:t>: ejemplo una empresa tiene un bien patentado</w:t>
      </w:r>
    </w:p>
    <w:p w:rsidR="003D4D0C" w:rsidRDefault="003D4D0C" w:rsidP="003D4D0C">
      <w:pPr>
        <w:spacing w:after="0"/>
        <w:jc w:val="both"/>
        <w:rPr>
          <w:sz w:val="24"/>
        </w:rPr>
      </w:pPr>
      <w:r>
        <w:rPr>
          <w:i/>
          <w:sz w:val="24"/>
        </w:rPr>
        <w:t>-</w:t>
      </w:r>
      <w:r w:rsidR="00672475" w:rsidRPr="00672475">
        <w:rPr>
          <w:i/>
          <w:sz w:val="24"/>
        </w:rPr>
        <w:t>Monopolio Natural</w:t>
      </w:r>
      <w:r w:rsidR="00672475">
        <w:rPr>
          <w:sz w:val="24"/>
        </w:rPr>
        <w:t xml:space="preserve">: ejemplo, aguas andinas, una única empresa puede ofrecer un bien/servicio a un costo menor que las demás empresas. </w:t>
      </w:r>
    </w:p>
    <w:p w:rsidR="003D4D0C" w:rsidRDefault="00672475" w:rsidP="003D4D0C">
      <w:pPr>
        <w:spacing w:after="0"/>
        <w:jc w:val="both"/>
        <w:rPr>
          <w:sz w:val="24"/>
          <w:u w:val="single"/>
        </w:rPr>
      </w:pPr>
      <w:r w:rsidRPr="00672475">
        <w:rPr>
          <w:sz w:val="24"/>
          <w:u w:val="single"/>
        </w:rPr>
        <w:br/>
        <w:t>Monopolio vs Competencia Perfecta</w:t>
      </w:r>
    </w:p>
    <w:p w:rsidR="003D4D0C" w:rsidRDefault="00672475" w:rsidP="003D4D0C">
      <w:pPr>
        <w:spacing w:after="0"/>
        <w:jc w:val="both"/>
        <w:rPr>
          <w:sz w:val="24"/>
        </w:rPr>
      </w:pPr>
      <w:r>
        <w:rPr>
          <w:sz w:val="24"/>
        </w:rPr>
        <w:t>Como en competencia perfecta se ofrece un producto que tiene muchos sustitutos (los productos de todas las demás empresas en el mercado), la curva de demanda de una empresa cualquiera es perfectamente elástica</w:t>
      </w:r>
      <w:r w:rsidR="0024492F">
        <w:rPr>
          <w:sz w:val="24"/>
        </w:rPr>
        <w:t xml:space="preserve">. Por otro lado el monopolio es el único oferente por lo que la curva de demanda que enfrenta es la de mercado (con pendiente negativa…) </w:t>
      </w:r>
      <w:r>
        <w:rPr>
          <w:sz w:val="24"/>
        </w:rPr>
        <w:br/>
      </w:r>
      <w:r w:rsidR="0024492F">
        <w:rPr>
          <w:sz w:val="24"/>
        </w:rPr>
        <w:br/>
      </w:r>
      <w:r w:rsidR="0024492F" w:rsidRPr="006E071F">
        <w:rPr>
          <w:sz w:val="24"/>
          <w:u w:val="single"/>
        </w:rPr>
        <w:t>Ingresos del monopolista</w:t>
      </w:r>
    </w:p>
    <w:p w:rsidR="003D4D0C" w:rsidRDefault="0024492F" w:rsidP="003D4D0C">
      <w:pPr>
        <w:spacing w:after="0"/>
        <w:jc w:val="both"/>
        <w:rPr>
          <w:sz w:val="24"/>
        </w:rPr>
      </w:pPr>
      <w:r>
        <w:rPr>
          <w:sz w:val="24"/>
        </w:rPr>
        <w:t xml:space="preserve">El </w:t>
      </w:r>
      <w:proofErr w:type="spellStart"/>
      <w:r>
        <w:rPr>
          <w:sz w:val="24"/>
        </w:rPr>
        <w:t>IMg</w:t>
      </w:r>
      <w:proofErr w:type="spellEnd"/>
      <w:r>
        <w:rPr>
          <w:sz w:val="24"/>
        </w:rPr>
        <w:t xml:space="preserve"> del monopolista es siempre menor que el precio del bien, esto se debe a que enfrenta una curva de demanda con pendiente negativa y por tanto para aumentar la cantidad vendida debe bajar los precios</w:t>
      </w:r>
      <w:r w:rsidR="003D4D0C">
        <w:rPr>
          <w:sz w:val="24"/>
        </w:rPr>
        <w:t>.</w:t>
      </w:r>
    </w:p>
    <w:p w:rsidR="003D4D0C" w:rsidRDefault="0024492F" w:rsidP="003D4D0C">
      <w:pPr>
        <w:spacing w:after="0"/>
        <w:jc w:val="both"/>
        <w:rPr>
          <w:sz w:val="24"/>
        </w:rPr>
      </w:pPr>
      <w:r>
        <w:rPr>
          <w:sz w:val="24"/>
        </w:rPr>
        <w:t>Cuando el monopolio aumenta la cantidad que vende se produce el efecto-producción (aumenta Q) y el efecto-precio (disminuye P), cuando produce esta unidad adicional debe bajar el precio que cobra por cada una de las unidades que vende y esta baja en el precio reduce el ingreso. Por otro lado el efecto-precio no ocurre en competencia perfecta, ya que en este caso si la empresa produce una unidad más recibirá el precio de mercado por esta unidad, porque es precio aceptante y se cumple que P=</w:t>
      </w:r>
      <w:proofErr w:type="spellStart"/>
      <w:r>
        <w:rPr>
          <w:sz w:val="24"/>
        </w:rPr>
        <w:t>IMg.</w:t>
      </w:r>
      <w:proofErr w:type="spellEnd"/>
    </w:p>
    <w:p w:rsidR="003D4D0C" w:rsidRDefault="006E071F" w:rsidP="003D4D0C">
      <w:pPr>
        <w:spacing w:after="0"/>
        <w:jc w:val="both"/>
        <w:rPr>
          <w:sz w:val="24"/>
        </w:rPr>
      </w:pPr>
      <w:r>
        <w:rPr>
          <w:sz w:val="24"/>
        </w:rPr>
        <w:t>Para el monopolio, la curva de demanda es igual al ingreso medio (</w:t>
      </w:r>
      <w:proofErr w:type="spellStart"/>
      <w:r>
        <w:rPr>
          <w:sz w:val="24"/>
        </w:rPr>
        <w:t>IMe</w:t>
      </w:r>
      <w:proofErr w:type="spellEnd"/>
      <w:r>
        <w:rPr>
          <w:sz w:val="24"/>
        </w:rPr>
        <w:t xml:space="preserve">). Y la curva de </w:t>
      </w:r>
      <w:proofErr w:type="spellStart"/>
      <w:r>
        <w:rPr>
          <w:sz w:val="24"/>
        </w:rPr>
        <w:t>IMg</w:t>
      </w:r>
      <w:proofErr w:type="spellEnd"/>
      <w:r>
        <w:rPr>
          <w:sz w:val="24"/>
        </w:rPr>
        <w:t xml:space="preserve"> muestra como varía el ingreso si se produce una unidad más. </w:t>
      </w:r>
      <w:r w:rsidR="0081583A">
        <w:rPr>
          <w:sz w:val="24"/>
        </w:rPr>
        <w:t xml:space="preserve">La curva de </w:t>
      </w:r>
      <w:proofErr w:type="spellStart"/>
      <w:r w:rsidR="0081583A">
        <w:rPr>
          <w:sz w:val="24"/>
        </w:rPr>
        <w:t>IMg</w:t>
      </w:r>
      <w:proofErr w:type="spellEnd"/>
      <w:r w:rsidR="0081583A">
        <w:rPr>
          <w:sz w:val="24"/>
        </w:rPr>
        <w:t xml:space="preserve"> tiene el </w:t>
      </w:r>
      <w:r w:rsidR="0081583A">
        <w:rPr>
          <w:sz w:val="24"/>
        </w:rPr>
        <w:lastRenderedPageBreak/>
        <w:t xml:space="preserve">doble de pendiente que la curva de demanda o </w:t>
      </w:r>
      <w:proofErr w:type="spellStart"/>
      <w:r w:rsidR="0081583A">
        <w:rPr>
          <w:sz w:val="24"/>
        </w:rPr>
        <w:t>IMe</w:t>
      </w:r>
      <w:proofErr w:type="spellEnd"/>
      <w:r w:rsidR="0081583A">
        <w:rPr>
          <w:rStyle w:val="Refdenotaalpie"/>
          <w:sz w:val="24"/>
        </w:rPr>
        <w:footnoteReference w:id="1"/>
      </w:r>
      <w:r w:rsidR="0081583A">
        <w:rPr>
          <w:sz w:val="24"/>
        </w:rPr>
        <w:t>, además a</w:t>
      </w:r>
      <w:r>
        <w:rPr>
          <w:sz w:val="24"/>
        </w:rPr>
        <w:t xml:space="preserve">mbas curvas parten desde el mismo punto porque el </w:t>
      </w:r>
      <w:proofErr w:type="spellStart"/>
      <w:r>
        <w:rPr>
          <w:sz w:val="24"/>
        </w:rPr>
        <w:t>IMg</w:t>
      </w:r>
      <w:proofErr w:type="spellEnd"/>
      <w:r>
        <w:rPr>
          <w:sz w:val="24"/>
        </w:rPr>
        <w:t xml:space="preserve"> de la primera unidad vendida es igual al </w:t>
      </w:r>
      <w:proofErr w:type="spellStart"/>
      <w:r>
        <w:rPr>
          <w:sz w:val="24"/>
        </w:rPr>
        <w:t>IMg</w:t>
      </w:r>
      <w:proofErr w:type="spellEnd"/>
      <w:r>
        <w:rPr>
          <w:sz w:val="24"/>
        </w:rPr>
        <w:t xml:space="preserve">, pero desde ese punto en adelante la curva de </w:t>
      </w:r>
      <w:proofErr w:type="spellStart"/>
      <w:r>
        <w:rPr>
          <w:sz w:val="24"/>
        </w:rPr>
        <w:t>IMg</w:t>
      </w:r>
      <w:proofErr w:type="spellEnd"/>
      <w:r>
        <w:rPr>
          <w:sz w:val="24"/>
        </w:rPr>
        <w:t xml:space="preserve"> está por debajo de la demanda, debido </w:t>
      </w:r>
      <w:r w:rsidR="00335C06">
        <w:rPr>
          <w:sz w:val="24"/>
        </w:rPr>
        <w:t xml:space="preserve">a que el </w:t>
      </w:r>
      <w:proofErr w:type="spellStart"/>
      <w:r w:rsidR="00335C06">
        <w:rPr>
          <w:sz w:val="24"/>
        </w:rPr>
        <w:t>IMg</w:t>
      </w:r>
      <w:proofErr w:type="spellEnd"/>
      <w:r w:rsidR="00335C06">
        <w:rPr>
          <w:sz w:val="24"/>
        </w:rPr>
        <w:t xml:space="preserve"> es menor al precio. (Ver </w:t>
      </w:r>
      <w:r w:rsidR="00335C06" w:rsidRPr="003D4D0C">
        <w:rPr>
          <w:b/>
          <w:sz w:val="24"/>
        </w:rPr>
        <w:t>figura1</w:t>
      </w:r>
      <w:r w:rsidR="00335C06">
        <w:rPr>
          <w:sz w:val="24"/>
        </w:rPr>
        <w:t>)</w:t>
      </w:r>
    </w:p>
    <w:p w:rsidR="003D4D0C" w:rsidRDefault="003D4D0C" w:rsidP="003D4D0C">
      <w:pPr>
        <w:spacing w:after="0"/>
        <w:jc w:val="both"/>
        <w:rPr>
          <w:sz w:val="24"/>
          <w:u w:val="single"/>
        </w:rPr>
      </w:pPr>
    </w:p>
    <w:p w:rsidR="003D4D0C" w:rsidRDefault="006E071F" w:rsidP="003D4D0C">
      <w:pPr>
        <w:spacing w:after="0"/>
        <w:jc w:val="both"/>
        <w:rPr>
          <w:sz w:val="24"/>
        </w:rPr>
      </w:pPr>
      <w:r w:rsidRPr="006E071F">
        <w:rPr>
          <w:sz w:val="24"/>
          <w:u w:val="single"/>
        </w:rPr>
        <w:t>Maximización de Beneficios</w:t>
      </w:r>
    </w:p>
    <w:p w:rsidR="00DE5A5A" w:rsidRDefault="00672475" w:rsidP="003D4D0C">
      <w:pPr>
        <w:spacing w:after="0"/>
        <w:jc w:val="both"/>
        <w:rPr>
          <w:sz w:val="24"/>
        </w:rPr>
      </w:pPr>
      <w:r>
        <w:rPr>
          <w:sz w:val="24"/>
        </w:rPr>
        <w:t xml:space="preserve">Maximiza beneficios en </w:t>
      </w:r>
      <w:proofErr w:type="spellStart"/>
      <w:r>
        <w:rPr>
          <w:sz w:val="24"/>
        </w:rPr>
        <w:t>IMg</w:t>
      </w:r>
      <w:proofErr w:type="spellEnd"/>
      <w:r>
        <w:rPr>
          <w:sz w:val="24"/>
        </w:rPr>
        <w:t>=</w:t>
      </w:r>
      <w:proofErr w:type="spellStart"/>
      <w:r>
        <w:rPr>
          <w:sz w:val="24"/>
        </w:rPr>
        <w:t>CMg</w:t>
      </w:r>
      <w:proofErr w:type="spellEnd"/>
      <w:r>
        <w:rPr>
          <w:sz w:val="24"/>
        </w:rPr>
        <w:t>, a partir de esta igualdad se encuentra la cantidad</w:t>
      </w:r>
      <w:r w:rsidR="00DE5A5A">
        <w:rPr>
          <w:sz w:val="24"/>
        </w:rPr>
        <w:t xml:space="preserve"> (punto D del gráfico)</w:t>
      </w:r>
      <w:r>
        <w:rPr>
          <w:sz w:val="24"/>
        </w:rPr>
        <w:t xml:space="preserve"> y la empresa fija el precio al proyec</w:t>
      </w:r>
      <w:r w:rsidR="003D4D0C">
        <w:rPr>
          <w:sz w:val="24"/>
        </w:rPr>
        <w:t>tar esta cantidad en la demanda</w:t>
      </w:r>
      <w:r w:rsidR="00DE5A5A">
        <w:rPr>
          <w:sz w:val="24"/>
        </w:rPr>
        <w:t xml:space="preserve"> (proyecta D al punto B en la demanda y el precio resultante es el punto A…</w:t>
      </w:r>
      <w:r w:rsidR="003D4D0C">
        <w:rPr>
          <w:sz w:val="24"/>
        </w:rPr>
        <w:t xml:space="preserve">ver </w:t>
      </w:r>
      <w:r w:rsidR="003D4D0C" w:rsidRPr="003D4D0C">
        <w:rPr>
          <w:b/>
          <w:sz w:val="24"/>
        </w:rPr>
        <w:t>figura 1</w:t>
      </w:r>
      <w:r w:rsidR="003D4D0C">
        <w:rPr>
          <w:sz w:val="24"/>
        </w:rPr>
        <w:t>)</w:t>
      </w:r>
    </w:p>
    <w:p w:rsidR="003D4D0C" w:rsidRDefault="00DE5A5A" w:rsidP="003D4D0C">
      <w:pPr>
        <w:spacing w:after="0"/>
        <w:jc w:val="both"/>
        <w:rPr>
          <w:sz w:val="24"/>
        </w:rPr>
      </w:pPr>
      <w:r>
        <w:rPr>
          <w:sz w:val="24"/>
        </w:rPr>
        <w:t>*</w:t>
      </w:r>
      <w:r w:rsidR="006E071F">
        <w:rPr>
          <w:sz w:val="24"/>
        </w:rPr>
        <w:t>Tener presente las diferencias</w:t>
      </w:r>
      <w:r w:rsidR="003D4D0C">
        <w:rPr>
          <w:sz w:val="24"/>
        </w:rPr>
        <w:t xml:space="preserve"> entre competencia y monopolio:</w:t>
      </w:r>
    </w:p>
    <w:p w:rsidR="003D4D0C" w:rsidRPr="003D4D0C" w:rsidRDefault="00DE5A5A" w:rsidP="003D4D0C">
      <w:pPr>
        <w:spacing w:after="0"/>
        <w:jc w:val="both"/>
        <w:rPr>
          <w:i/>
          <w:sz w:val="24"/>
        </w:rPr>
      </w:pPr>
      <w:r>
        <w:rPr>
          <w:i/>
          <w:sz w:val="24"/>
        </w:rPr>
        <w:t>-</w:t>
      </w:r>
      <w:r w:rsidR="006E071F" w:rsidRPr="003D4D0C">
        <w:rPr>
          <w:i/>
          <w:sz w:val="24"/>
        </w:rPr>
        <w:t>Empresas com</w:t>
      </w:r>
      <w:r w:rsidR="003D4D0C" w:rsidRPr="003D4D0C">
        <w:rPr>
          <w:i/>
          <w:sz w:val="24"/>
        </w:rPr>
        <w:t>petitivas P=</w:t>
      </w:r>
      <w:proofErr w:type="spellStart"/>
      <w:r w:rsidR="003D4D0C" w:rsidRPr="003D4D0C">
        <w:rPr>
          <w:i/>
          <w:sz w:val="24"/>
        </w:rPr>
        <w:t>IMg</w:t>
      </w:r>
      <w:proofErr w:type="spellEnd"/>
      <w:r w:rsidR="003D4D0C" w:rsidRPr="003D4D0C">
        <w:rPr>
          <w:i/>
          <w:sz w:val="24"/>
        </w:rPr>
        <w:t>=</w:t>
      </w:r>
      <w:proofErr w:type="spellStart"/>
      <w:r w:rsidR="003D4D0C" w:rsidRPr="003D4D0C">
        <w:rPr>
          <w:i/>
          <w:sz w:val="24"/>
        </w:rPr>
        <w:t>CMg</w:t>
      </w:r>
      <w:proofErr w:type="spellEnd"/>
    </w:p>
    <w:p w:rsidR="00672475" w:rsidRPr="003D4D0C" w:rsidRDefault="00DE5A5A" w:rsidP="003D4D0C">
      <w:pPr>
        <w:spacing w:after="0"/>
        <w:jc w:val="both"/>
        <w:rPr>
          <w:i/>
          <w:sz w:val="24"/>
        </w:rPr>
      </w:pPr>
      <w:r>
        <w:rPr>
          <w:i/>
          <w:sz w:val="24"/>
        </w:rPr>
        <w:t>-</w:t>
      </w:r>
      <w:r w:rsidR="006E071F" w:rsidRPr="003D4D0C">
        <w:rPr>
          <w:i/>
          <w:sz w:val="24"/>
        </w:rPr>
        <w:t xml:space="preserve">Empresa </w:t>
      </w:r>
      <w:proofErr w:type="spellStart"/>
      <w:r w:rsidR="006E071F" w:rsidRPr="003D4D0C">
        <w:rPr>
          <w:i/>
          <w:sz w:val="24"/>
        </w:rPr>
        <w:t>monopólistica</w:t>
      </w:r>
      <w:proofErr w:type="spellEnd"/>
      <w:r w:rsidR="006E071F" w:rsidRPr="003D4D0C">
        <w:rPr>
          <w:i/>
          <w:sz w:val="24"/>
        </w:rPr>
        <w:t xml:space="preserve"> P&gt;</w:t>
      </w:r>
      <w:proofErr w:type="spellStart"/>
      <w:r w:rsidR="006E071F" w:rsidRPr="003D4D0C">
        <w:rPr>
          <w:i/>
          <w:sz w:val="24"/>
        </w:rPr>
        <w:t>IMg</w:t>
      </w:r>
      <w:proofErr w:type="spellEnd"/>
      <w:r w:rsidR="006E071F" w:rsidRPr="003D4D0C">
        <w:rPr>
          <w:i/>
          <w:sz w:val="24"/>
        </w:rPr>
        <w:t xml:space="preserve">  y </w:t>
      </w:r>
      <w:proofErr w:type="spellStart"/>
      <w:r w:rsidR="006E071F" w:rsidRPr="003D4D0C">
        <w:rPr>
          <w:i/>
          <w:sz w:val="24"/>
        </w:rPr>
        <w:t>IMg</w:t>
      </w:r>
      <w:proofErr w:type="spellEnd"/>
      <w:r w:rsidR="006E071F" w:rsidRPr="003D4D0C">
        <w:rPr>
          <w:i/>
          <w:sz w:val="24"/>
        </w:rPr>
        <w:t>=</w:t>
      </w:r>
      <w:proofErr w:type="spellStart"/>
      <w:r w:rsidR="006E071F" w:rsidRPr="003D4D0C">
        <w:rPr>
          <w:i/>
          <w:sz w:val="24"/>
        </w:rPr>
        <w:t>CMg</w:t>
      </w:r>
      <w:proofErr w:type="spellEnd"/>
      <w:r w:rsidR="00672475" w:rsidRPr="003D4D0C">
        <w:rPr>
          <w:i/>
          <w:sz w:val="24"/>
        </w:rPr>
        <w:t xml:space="preserve"> </w:t>
      </w:r>
    </w:p>
    <w:p w:rsidR="00FE0EBE" w:rsidRDefault="00FE0EBE" w:rsidP="003D4D0C">
      <w:pPr>
        <w:spacing w:after="0"/>
        <w:jc w:val="both"/>
        <w:rPr>
          <w:sz w:val="24"/>
        </w:rPr>
      </w:pPr>
    </w:p>
    <w:p w:rsidR="00FE0EBE" w:rsidRDefault="00FE0EBE" w:rsidP="003D4D0C">
      <w:pPr>
        <w:spacing w:after="0"/>
        <w:jc w:val="both"/>
        <w:rPr>
          <w:sz w:val="24"/>
        </w:rPr>
      </w:pPr>
      <w:r w:rsidRPr="00FE0EBE">
        <w:rPr>
          <w:sz w:val="24"/>
          <w:u w:val="single"/>
        </w:rPr>
        <w:t>Beneficios del monopolio</w:t>
      </w:r>
      <w:r w:rsidR="00335C06">
        <w:rPr>
          <w:sz w:val="24"/>
          <w:u w:val="single"/>
        </w:rPr>
        <w:t xml:space="preserve"> y pérdida de eficiencia</w:t>
      </w:r>
    </w:p>
    <w:p w:rsidR="003D4D0C" w:rsidRDefault="00FE0EBE" w:rsidP="003D4D0C">
      <w:pPr>
        <w:spacing w:after="0"/>
        <w:jc w:val="both"/>
        <w:rPr>
          <w:sz w:val="24"/>
        </w:rPr>
      </w:pPr>
      <w:r>
        <w:rPr>
          <w:sz w:val="24"/>
        </w:rPr>
        <w:t xml:space="preserve">Beneficios= IT – CT = (IT/Q – CT/Q)* Q = </w:t>
      </w:r>
      <w:r w:rsidR="003D4D0C">
        <w:rPr>
          <w:sz w:val="24"/>
        </w:rPr>
        <w:t>(P-</w:t>
      </w:r>
      <w:proofErr w:type="spellStart"/>
      <w:r w:rsidR="003D4D0C">
        <w:rPr>
          <w:sz w:val="24"/>
        </w:rPr>
        <w:t>CTMe</w:t>
      </w:r>
      <w:proofErr w:type="spellEnd"/>
      <w:r w:rsidR="003D4D0C">
        <w:rPr>
          <w:sz w:val="24"/>
        </w:rPr>
        <w:t xml:space="preserve">)*Q </w:t>
      </w:r>
    </w:p>
    <w:p w:rsidR="003D4D0C" w:rsidRDefault="003D4D0C" w:rsidP="003D4D0C">
      <w:pPr>
        <w:spacing w:after="0"/>
        <w:jc w:val="both"/>
        <w:rPr>
          <w:sz w:val="24"/>
        </w:rPr>
      </w:pPr>
      <w:r>
        <w:rPr>
          <w:sz w:val="24"/>
        </w:rPr>
        <w:t>S</w:t>
      </w:r>
      <w:r w:rsidR="00FE0EBE">
        <w:rPr>
          <w:sz w:val="24"/>
        </w:rPr>
        <w:t>e ocupa la misma ecuación que para empresas competitivas.</w:t>
      </w:r>
    </w:p>
    <w:p w:rsidR="003D4D0C" w:rsidRDefault="00335C06" w:rsidP="003D4D0C">
      <w:pPr>
        <w:spacing w:after="0"/>
        <w:jc w:val="both"/>
        <w:rPr>
          <w:b/>
          <w:sz w:val="24"/>
        </w:rPr>
      </w:pPr>
      <w:r>
        <w:rPr>
          <w:sz w:val="24"/>
        </w:rPr>
        <w:t>Gráficamente, se puede observar</w:t>
      </w:r>
      <w:r w:rsidR="003D4D0C">
        <w:rPr>
          <w:sz w:val="24"/>
        </w:rPr>
        <w:t xml:space="preserve"> el beneficio monopólico</w:t>
      </w:r>
      <w:r>
        <w:rPr>
          <w:sz w:val="24"/>
        </w:rPr>
        <w:t xml:space="preserve"> en el rectángulo AB</w:t>
      </w:r>
      <w:r w:rsidR="00DE5A5A">
        <w:rPr>
          <w:sz w:val="24"/>
        </w:rPr>
        <w:t>DC</w:t>
      </w:r>
      <w:r>
        <w:rPr>
          <w:sz w:val="24"/>
        </w:rPr>
        <w:t xml:space="preserve"> de la </w:t>
      </w:r>
      <w:r w:rsidRPr="003D4D0C">
        <w:rPr>
          <w:b/>
          <w:sz w:val="24"/>
        </w:rPr>
        <w:t>figura 1</w:t>
      </w:r>
      <w:r w:rsidR="003D4D0C">
        <w:rPr>
          <w:b/>
          <w:sz w:val="24"/>
        </w:rPr>
        <w:t>.</w:t>
      </w:r>
    </w:p>
    <w:p w:rsidR="003D4D0C" w:rsidRDefault="003D4D0C" w:rsidP="003D4D0C">
      <w:pPr>
        <w:spacing w:after="0"/>
        <w:jc w:val="both"/>
        <w:rPr>
          <w:sz w:val="24"/>
        </w:rPr>
      </w:pPr>
    </w:p>
    <w:p w:rsidR="00DE5A5A" w:rsidRDefault="00335C06" w:rsidP="003D4D0C">
      <w:pPr>
        <w:spacing w:after="0"/>
        <w:jc w:val="both"/>
        <w:rPr>
          <w:sz w:val="24"/>
        </w:rPr>
      </w:pPr>
      <w:r>
        <w:rPr>
          <w:sz w:val="24"/>
        </w:rPr>
        <w:t xml:space="preserve">El monopolio </w:t>
      </w:r>
      <w:r w:rsidR="003D4D0C">
        <w:rPr>
          <w:sz w:val="24"/>
        </w:rPr>
        <w:t xml:space="preserve">crea </w:t>
      </w:r>
      <w:r w:rsidR="003D4D0C">
        <w:rPr>
          <w:i/>
          <w:sz w:val="24"/>
        </w:rPr>
        <w:t>pé</w:t>
      </w:r>
      <w:r w:rsidRPr="003D4D0C">
        <w:rPr>
          <w:i/>
          <w:sz w:val="24"/>
        </w:rPr>
        <w:t>rdidas de eficiencia</w:t>
      </w:r>
      <w:r>
        <w:rPr>
          <w:sz w:val="24"/>
        </w:rPr>
        <w:t>, ya que produce una cantidad inferior a la socialmente eficiente (donde se interceptan oferta y demanda)</w:t>
      </w:r>
      <w:r w:rsidR="003D4D0C">
        <w:rPr>
          <w:sz w:val="24"/>
        </w:rPr>
        <w:t xml:space="preserve">, gráficamente sería el triangulo </w:t>
      </w:r>
      <w:r w:rsidR="00DE5A5A">
        <w:rPr>
          <w:sz w:val="24"/>
        </w:rPr>
        <w:t xml:space="preserve">BED </w:t>
      </w:r>
      <w:r w:rsidR="003D4D0C">
        <w:rPr>
          <w:sz w:val="24"/>
        </w:rPr>
        <w:t xml:space="preserve">de la </w:t>
      </w:r>
      <w:r w:rsidR="003D4D0C" w:rsidRPr="003D4D0C">
        <w:rPr>
          <w:b/>
          <w:sz w:val="24"/>
        </w:rPr>
        <w:t>figura 1</w:t>
      </w:r>
      <w:r>
        <w:rPr>
          <w:sz w:val="24"/>
        </w:rPr>
        <w:t xml:space="preserve">. </w:t>
      </w:r>
      <w:r w:rsidR="003D4D0C">
        <w:rPr>
          <w:sz w:val="24"/>
        </w:rPr>
        <w:t>Ojo que el monopolio opera/produce en el tramo elástica de la demanda.</w:t>
      </w:r>
    </w:p>
    <w:p w:rsidR="0081583A" w:rsidRDefault="00335C06" w:rsidP="003D4D0C">
      <w:pPr>
        <w:spacing w:after="0"/>
        <w:jc w:val="both"/>
        <w:rPr>
          <w:sz w:val="24"/>
          <w:u w:val="single"/>
        </w:rPr>
      </w:pPr>
      <w:r>
        <w:rPr>
          <w:sz w:val="24"/>
        </w:rPr>
        <w:br/>
      </w:r>
      <w:r w:rsidR="0081583A" w:rsidRPr="0081583A">
        <w:rPr>
          <w:sz w:val="24"/>
          <w:u w:val="single"/>
        </w:rPr>
        <w:drawing>
          <wp:inline distT="0" distB="0" distL="0" distR="0">
            <wp:extent cx="3497873" cy="2540977"/>
            <wp:effectExtent l="19050" t="0" r="7327" b="0"/>
            <wp:docPr id="1"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408712" cy="5112568"/>
                      <a:chOff x="1475656" y="548680"/>
                      <a:chExt cx="6408712" cy="5112568"/>
                    </a:xfrm>
                  </a:grpSpPr>
                  <a:grpSp>
                    <a:nvGrpSpPr>
                      <a:cNvPr id="49" name="48 Grupo"/>
                      <a:cNvGrpSpPr/>
                    </a:nvGrpSpPr>
                    <a:grpSpPr>
                      <a:xfrm>
                        <a:off x="1475656" y="548680"/>
                        <a:ext cx="6408712" cy="5112568"/>
                        <a:chOff x="1475656" y="548680"/>
                        <a:chExt cx="6408712" cy="5112568"/>
                      </a:xfrm>
                    </a:grpSpPr>
                    <a:cxnSp>
                      <a:nvCxnSpPr>
                        <a:cNvPr id="7" name="6 Conector recto"/>
                        <a:cNvCxnSpPr/>
                      </a:nvCxnSpPr>
                      <a:spPr>
                        <a:xfrm>
                          <a:off x="2303240" y="4437112"/>
                          <a:ext cx="4968552" cy="0"/>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10 Conector recto"/>
                        <a:cNvCxnSpPr/>
                      </a:nvCxnSpPr>
                      <a:spPr>
                        <a:xfrm>
                          <a:off x="2591272" y="1628800"/>
                          <a:ext cx="1584176" cy="2808312"/>
                        </a:xfrm>
                        <a:prstGeom prst="line">
                          <a:avLst/>
                        </a:prstGeom>
                        <a:ln w="28575">
                          <a:solidFill>
                            <a:srgbClr val="FF0000"/>
                          </a:solidFill>
                        </a:ln>
                      </a:spPr>
                      <a:style>
                        <a:lnRef idx="1">
                          <a:schemeClr val="accent1"/>
                        </a:lnRef>
                        <a:fillRef idx="0">
                          <a:schemeClr val="accent1"/>
                        </a:fillRef>
                        <a:effectRef idx="0">
                          <a:schemeClr val="accent1"/>
                        </a:effectRef>
                        <a:fontRef idx="minor">
                          <a:schemeClr val="tx1"/>
                        </a:fontRef>
                      </a:style>
                    </a:cxnSp>
                    <a:cxnSp>
                      <a:nvCxnSpPr>
                        <a:cNvPr id="13" name="12 Conector recto"/>
                        <a:cNvCxnSpPr/>
                      </a:nvCxnSpPr>
                      <a:spPr>
                        <a:xfrm>
                          <a:off x="2591272" y="1628800"/>
                          <a:ext cx="3240360" cy="2808312"/>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15" name="14 Conector recto"/>
                        <a:cNvCxnSpPr/>
                      </a:nvCxnSpPr>
                      <a:spPr>
                        <a:xfrm flipV="1">
                          <a:off x="3311352" y="1628800"/>
                          <a:ext cx="1656184" cy="2448272"/>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7" name="16 Conector recto"/>
                        <a:cNvCxnSpPr/>
                      </a:nvCxnSpPr>
                      <a:spPr>
                        <a:xfrm flipV="1">
                          <a:off x="3671392" y="2564904"/>
                          <a:ext cx="0" cy="1872208"/>
                        </a:xfrm>
                        <a:prstGeom prst="line">
                          <a:avLst/>
                        </a:prstGeom>
                        <a:ln>
                          <a:solidFill>
                            <a:schemeClr val="bg1">
                              <a:lumMod val="75000"/>
                            </a:schemeClr>
                          </a:solidFill>
                          <a:prstDash val="dash"/>
                        </a:ln>
                      </a:spPr>
                      <a:style>
                        <a:lnRef idx="1">
                          <a:schemeClr val="accent1"/>
                        </a:lnRef>
                        <a:fillRef idx="0">
                          <a:schemeClr val="accent1"/>
                        </a:fillRef>
                        <a:effectRef idx="0">
                          <a:schemeClr val="accent1"/>
                        </a:effectRef>
                        <a:fontRef idx="minor">
                          <a:schemeClr val="tx1"/>
                        </a:fontRef>
                      </a:style>
                    </a:cxnSp>
                    <a:cxnSp>
                      <a:nvCxnSpPr>
                        <a:cNvPr id="19" name="18 Conector recto"/>
                        <a:cNvCxnSpPr/>
                      </a:nvCxnSpPr>
                      <a:spPr>
                        <a:xfrm flipH="1">
                          <a:off x="2591272" y="2564904"/>
                          <a:ext cx="1080120" cy="0"/>
                        </a:xfrm>
                        <a:prstGeom prst="line">
                          <a:avLst/>
                        </a:prstGeom>
                        <a:ln>
                          <a:solidFill>
                            <a:schemeClr val="bg1">
                              <a:lumMod val="75000"/>
                            </a:schemeClr>
                          </a:solidFill>
                          <a:prstDash val="dash"/>
                        </a:ln>
                      </a:spPr>
                      <a:style>
                        <a:lnRef idx="1">
                          <a:schemeClr val="accent1"/>
                        </a:lnRef>
                        <a:fillRef idx="0">
                          <a:schemeClr val="accent1"/>
                        </a:fillRef>
                        <a:effectRef idx="0">
                          <a:schemeClr val="accent1"/>
                        </a:effectRef>
                        <a:fontRef idx="minor">
                          <a:schemeClr val="tx1"/>
                        </a:fontRef>
                      </a:style>
                    </a:cxnSp>
                    <a:cxnSp>
                      <a:nvCxnSpPr>
                        <a:cNvPr id="22" name="21 Conector recto"/>
                        <a:cNvCxnSpPr/>
                      </a:nvCxnSpPr>
                      <a:spPr>
                        <a:xfrm flipH="1">
                          <a:off x="2591272" y="3501008"/>
                          <a:ext cx="1080120" cy="0"/>
                        </a:xfrm>
                        <a:prstGeom prst="line">
                          <a:avLst/>
                        </a:prstGeom>
                        <a:ln>
                          <a:solidFill>
                            <a:schemeClr val="bg1">
                              <a:lumMod val="75000"/>
                            </a:schemeClr>
                          </a:solidFill>
                          <a:prstDash val="dash"/>
                        </a:ln>
                      </a:spPr>
                      <a:style>
                        <a:lnRef idx="1">
                          <a:schemeClr val="accent1"/>
                        </a:lnRef>
                        <a:fillRef idx="0">
                          <a:schemeClr val="accent1"/>
                        </a:fillRef>
                        <a:effectRef idx="0">
                          <a:schemeClr val="accent1"/>
                        </a:effectRef>
                        <a:fontRef idx="minor">
                          <a:schemeClr val="tx1"/>
                        </a:fontRef>
                      </a:style>
                    </a:cxnSp>
                    <a:sp>
                      <a:nvSpPr>
                        <a:cNvPr id="23" name="22 CuadroTexto"/>
                        <a:cNvSpPr txBox="1"/>
                      </a:nvSpPr>
                      <a:spPr>
                        <a:xfrm>
                          <a:off x="1763688" y="908720"/>
                          <a:ext cx="833177" cy="523220"/>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400" dirty="0" smtClean="0"/>
                              <a:t>Costes e </a:t>
                            </a:r>
                            <a:br>
                              <a:rPr lang="es-CL" sz="1400" dirty="0" smtClean="0"/>
                            </a:br>
                            <a:r>
                              <a:rPr lang="es-CL" sz="1400" dirty="0" smtClean="0"/>
                              <a:t>Ingresos</a:t>
                            </a:r>
                            <a:endParaRPr lang="es-CL" sz="1400" dirty="0"/>
                          </a:p>
                        </a:txBody>
                        <a:useSpRect/>
                      </a:txSp>
                    </a:sp>
                    <a:sp>
                      <a:nvSpPr>
                        <a:cNvPr id="24" name="23 CuadroTexto"/>
                        <a:cNvSpPr txBox="1"/>
                      </a:nvSpPr>
                      <a:spPr>
                        <a:xfrm>
                          <a:off x="6839744" y="4437112"/>
                          <a:ext cx="340158" cy="369332"/>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dirty="0" smtClean="0"/>
                              <a:t>Q</a:t>
                            </a:r>
                            <a:endParaRPr lang="es-CL" dirty="0"/>
                          </a:p>
                        </a:txBody>
                        <a:useSpRect/>
                      </a:txSp>
                    </a:sp>
                    <a:sp>
                      <a:nvSpPr>
                        <a:cNvPr id="25" name="24 CuadroTexto"/>
                        <a:cNvSpPr txBox="1"/>
                      </a:nvSpPr>
                      <a:spPr>
                        <a:xfrm>
                          <a:off x="4823520" y="1268760"/>
                          <a:ext cx="614271" cy="369332"/>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dirty="0" err="1" smtClean="0"/>
                              <a:t>CMg</a:t>
                            </a:r>
                            <a:endParaRPr lang="es-CL" dirty="0"/>
                          </a:p>
                        </a:txBody>
                        <a:useSpRect/>
                      </a:txSp>
                    </a:sp>
                    <a:sp>
                      <a:nvSpPr>
                        <a:cNvPr id="26" name="25 CuadroTexto"/>
                        <a:cNvSpPr txBox="1"/>
                      </a:nvSpPr>
                      <a:spPr>
                        <a:xfrm>
                          <a:off x="4031432" y="4077072"/>
                          <a:ext cx="548548" cy="369332"/>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dirty="0" err="1" smtClean="0"/>
                              <a:t>IMg</a:t>
                            </a:r>
                            <a:endParaRPr lang="es-CL" dirty="0"/>
                          </a:p>
                        </a:txBody>
                        <a:useSpRect/>
                      </a:txSp>
                    </a:sp>
                    <a:sp>
                      <a:nvSpPr>
                        <a:cNvPr id="27" name="26 CuadroTexto"/>
                        <a:cNvSpPr txBox="1"/>
                      </a:nvSpPr>
                      <a:spPr>
                        <a:xfrm>
                          <a:off x="5703911" y="4077072"/>
                          <a:ext cx="559769" cy="369332"/>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dirty="0" err="1" smtClean="0"/>
                              <a:t>Dda</a:t>
                            </a:r>
                            <a:endParaRPr lang="es-CL" dirty="0"/>
                          </a:p>
                        </a:txBody>
                        <a:useSpRect/>
                      </a:txSp>
                    </a:sp>
                    <a:sp>
                      <a:nvSpPr>
                        <a:cNvPr id="30" name="29 Elipse"/>
                        <a:cNvSpPr/>
                      </a:nvSpPr>
                      <a:spPr>
                        <a:xfrm>
                          <a:off x="2555776" y="3429000"/>
                          <a:ext cx="72008" cy="72008"/>
                        </a:xfrm>
                        <a:prstGeom prst="ellipse">
                          <a:avLst/>
                        </a:prstGeom>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31 Elipse"/>
                        <a:cNvSpPr/>
                      </a:nvSpPr>
                      <a:spPr>
                        <a:xfrm>
                          <a:off x="3635896" y="3501008"/>
                          <a:ext cx="72008" cy="72008"/>
                        </a:xfrm>
                        <a:prstGeom prst="ellipse">
                          <a:avLst/>
                        </a:prstGeom>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32 Elipse"/>
                        <a:cNvSpPr/>
                      </a:nvSpPr>
                      <a:spPr>
                        <a:xfrm>
                          <a:off x="3635896" y="2492896"/>
                          <a:ext cx="72008" cy="72008"/>
                        </a:xfrm>
                        <a:prstGeom prst="ellipse">
                          <a:avLst/>
                        </a:prstGeom>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34 Elipse"/>
                        <a:cNvSpPr/>
                      </a:nvSpPr>
                      <a:spPr>
                        <a:xfrm>
                          <a:off x="4067944" y="2924944"/>
                          <a:ext cx="72008" cy="72008"/>
                        </a:xfrm>
                        <a:prstGeom prst="ellipse">
                          <a:avLst/>
                        </a:prstGeom>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35 CuadroTexto"/>
                        <a:cNvSpPr txBox="1"/>
                      </a:nvSpPr>
                      <a:spPr>
                        <a:xfrm>
                          <a:off x="2267744" y="2420888"/>
                          <a:ext cx="274434" cy="276999"/>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200" dirty="0" smtClean="0"/>
                              <a:t>A</a:t>
                            </a:r>
                            <a:endParaRPr lang="es-CL" sz="1200" dirty="0"/>
                          </a:p>
                        </a:txBody>
                        <a:useSpRect/>
                      </a:txSp>
                    </a:sp>
                    <a:sp>
                      <a:nvSpPr>
                        <a:cNvPr id="37" name="36 CuadroTexto"/>
                        <a:cNvSpPr txBox="1"/>
                      </a:nvSpPr>
                      <a:spPr>
                        <a:xfrm>
                          <a:off x="3635896" y="2276872"/>
                          <a:ext cx="268022" cy="276999"/>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200" dirty="0" smtClean="0"/>
                              <a:t>B</a:t>
                            </a:r>
                            <a:endParaRPr lang="es-CL" sz="1200" dirty="0" smtClean="0"/>
                          </a:p>
                        </a:txBody>
                        <a:useSpRect/>
                      </a:txSp>
                    </a:sp>
                    <a:sp>
                      <a:nvSpPr>
                        <a:cNvPr id="38" name="37 CuadroTexto"/>
                        <a:cNvSpPr txBox="1"/>
                      </a:nvSpPr>
                      <a:spPr>
                        <a:xfrm>
                          <a:off x="2267744" y="3356992"/>
                          <a:ext cx="266420" cy="276999"/>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200" dirty="0" smtClean="0"/>
                              <a:t>C</a:t>
                            </a:r>
                            <a:endParaRPr lang="es-CL" sz="1200" dirty="0"/>
                          </a:p>
                        </a:txBody>
                        <a:useSpRect/>
                      </a:txSp>
                    </a:sp>
                    <a:sp>
                      <a:nvSpPr>
                        <a:cNvPr id="39" name="38 CuadroTexto"/>
                        <a:cNvSpPr txBox="1"/>
                      </a:nvSpPr>
                      <a:spPr>
                        <a:xfrm>
                          <a:off x="4139952" y="2791961"/>
                          <a:ext cx="260008" cy="276999"/>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200" dirty="0" smtClean="0"/>
                              <a:t>E</a:t>
                            </a:r>
                            <a:endParaRPr lang="es-CL" sz="1200" dirty="0"/>
                          </a:p>
                        </a:txBody>
                        <a:useSpRect/>
                      </a:txSp>
                    </a:sp>
                    <a:sp>
                      <a:nvSpPr>
                        <a:cNvPr id="40" name="39 CuadroTexto"/>
                        <a:cNvSpPr txBox="1"/>
                      </a:nvSpPr>
                      <a:spPr>
                        <a:xfrm>
                          <a:off x="3707904" y="3429000"/>
                          <a:ext cx="279244" cy="276999"/>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sz="1200" dirty="0" smtClean="0"/>
                              <a:t>D</a:t>
                            </a:r>
                            <a:endParaRPr lang="es-CL" sz="1200" dirty="0"/>
                          </a:p>
                        </a:txBody>
                        <a:useSpRect/>
                      </a:txSp>
                    </a:sp>
                    <a:sp>
                      <a:nvSpPr>
                        <a:cNvPr id="43" name="42 Elipse"/>
                        <a:cNvSpPr/>
                      </a:nvSpPr>
                      <a:spPr>
                        <a:xfrm>
                          <a:off x="2555776" y="2492896"/>
                          <a:ext cx="72008" cy="72008"/>
                        </a:xfrm>
                        <a:prstGeom prst="ellipse">
                          <a:avLst/>
                        </a:prstGeom>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4" name="43 Conector recto"/>
                        <a:cNvCxnSpPr/>
                      </a:nvCxnSpPr>
                      <a:spPr>
                        <a:xfrm>
                          <a:off x="2627784" y="980728"/>
                          <a:ext cx="0" cy="3744416"/>
                        </a:xfrm>
                        <a:prstGeom prst="line">
                          <a:avLst/>
                        </a:prstGeom>
                        <a:ln w="28575">
                          <a:solidFill>
                            <a:schemeClr val="tx1"/>
                          </a:solidFill>
                        </a:ln>
                      </a:spPr>
                      <a:style>
                        <a:lnRef idx="1">
                          <a:schemeClr val="accent1"/>
                        </a:lnRef>
                        <a:fillRef idx="0">
                          <a:schemeClr val="accent1"/>
                        </a:fillRef>
                        <a:effectRef idx="0">
                          <a:schemeClr val="accent1"/>
                        </a:effectRef>
                        <a:fontRef idx="minor">
                          <a:schemeClr val="tx1"/>
                        </a:fontRef>
                      </a:style>
                    </a:cxnSp>
                    <a:sp>
                      <a:nvSpPr>
                        <a:cNvPr id="47" name="46 CuadroTexto"/>
                        <a:cNvSpPr txBox="1"/>
                      </a:nvSpPr>
                      <a:spPr>
                        <a:xfrm>
                          <a:off x="4136632" y="5229200"/>
                          <a:ext cx="939424" cy="369332"/>
                        </a:xfrm>
                        <a:prstGeom prst="rect">
                          <a:avLst/>
                        </a:prstGeom>
                        <a:noFill/>
                      </a:spPr>
                      <a:txSp>
                        <a:txBody>
                          <a:bodyPr wrap="none" rtlCol="0">
                            <a:spAutoFit/>
                          </a:bodyPr>
                          <a:lstStyle>
                            <a:defPPr>
                              <a:defRPr lang="es-CL"/>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s-CL" b="1" dirty="0" smtClean="0"/>
                              <a:t>Figura 1</a:t>
                            </a:r>
                            <a:endParaRPr lang="es-CL" b="1" dirty="0"/>
                          </a:p>
                        </a:txBody>
                        <a:useSpRect/>
                      </a:txSp>
                    </a:sp>
                    <a:sp>
                      <a:nvSpPr>
                        <a:cNvPr id="48" name="47 Rectángulo"/>
                        <a:cNvSpPr/>
                      </a:nvSpPr>
                      <a:spPr>
                        <a:xfrm>
                          <a:off x="1475656" y="548680"/>
                          <a:ext cx="6408712" cy="5112568"/>
                        </a:xfrm>
                        <a:prstGeom prst="rect">
                          <a:avLst/>
                        </a:prstGeom>
                        <a:noFill/>
                      </a:spPr>
                      <a:txSp>
                        <a:txBody>
                          <a:bodyPr rtlCol="0" anchor="ctr"/>
                          <a:lstStyle>
                            <a:defPPr>
                              <a:defRPr lang="es-CL"/>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s-CL"/>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81583A" w:rsidRDefault="0081583A" w:rsidP="003D4D0C">
      <w:pPr>
        <w:spacing w:after="0"/>
        <w:jc w:val="both"/>
        <w:rPr>
          <w:sz w:val="24"/>
          <w:u w:val="single"/>
        </w:rPr>
      </w:pPr>
    </w:p>
    <w:p w:rsidR="003D4D0C" w:rsidRDefault="00335C06" w:rsidP="003D4D0C">
      <w:pPr>
        <w:spacing w:after="0"/>
        <w:jc w:val="both"/>
        <w:rPr>
          <w:sz w:val="24"/>
        </w:rPr>
      </w:pPr>
      <w:r w:rsidRPr="00335C06">
        <w:rPr>
          <w:sz w:val="24"/>
          <w:u w:val="single"/>
        </w:rPr>
        <w:t>Regulación de los monopolios</w:t>
      </w:r>
    </w:p>
    <w:p w:rsidR="003D4D0C" w:rsidRDefault="00335C06" w:rsidP="003D4D0C">
      <w:pPr>
        <w:spacing w:after="0"/>
        <w:jc w:val="both"/>
        <w:rPr>
          <w:sz w:val="24"/>
        </w:rPr>
      </w:pPr>
      <w:r>
        <w:rPr>
          <w:sz w:val="24"/>
        </w:rPr>
        <w:t>Los monopolios suelen ser regulados por los gobiernos, ya que no asignan eficientemente los recursos de la economía. E</w:t>
      </w:r>
      <w:r w:rsidR="003D4D0C">
        <w:rPr>
          <w:sz w:val="24"/>
        </w:rPr>
        <w:t>sto lo puede hacer a través de:</w:t>
      </w:r>
    </w:p>
    <w:p w:rsidR="003D4D0C" w:rsidRDefault="003D4D0C" w:rsidP="003D4D0C">
      <w:pPr>
        <w:spacing w:after="0"/>
        <w:jc w:val="both"/>
        <w:rPr>
          <w:sz w:val="24"/>
        </w:rPr>
      </w:pPr>
    </w:p>
    <w:p w:rsidR="003D4D0C" w:rsidRDefault="00335C06" w:rsidP="003D4D0C">
      <w:pPr>
        <w:spacing w:after="0"/>
        <w:jc w:val="both"/>
        <w:rPr>
          <w:sz w:val="24"/>
        </w:rPr>
      </w:pPr>
      <w:r>
        <w:rPr>
          <w:sz w:val="24"/>
        </w:rPr>
        <w:t xml:space="preserve">*Incentivando a las industrias monopolizadas a ser más competitivas </w:t>
      </w:r>
    </w:p>
    <w:p w:rsidR="003D4D0C" w:rsidRDefault="00335C06" w:rsidP="003D4D0C">
      <w:pPr>
        <w:spacing w:after="0"/>
        <w:jc w:val="both"/>
        <w:rPr>
          <w:sz w:val="24"/>
        </w:rPr>
      </w:pPr>
      <w:r>
        <w:rPr>
          <w:sz w:val="24"/>
        </w:rPr>
        <w:t>*Regula</w:t>
      </w:r>
      <w:r w:rsidR="003D4D0C">
        <w:rPr>
          <w:sz w:val="24"/>
        </w:rPr>
        <w:t>ndo conductas de los monopolios</w:t>
      </w:r>
    </w:p>
    <w:p w:rsidR="00DE5A5A" w:rsidRDefault="00335C06" w:rsidP="003D4D0C">
      <w:pPr>
        <w:spacing w:after="0"/>
        <w:jc w:val="both"/>
        <w:rPr>
          <w:sz w:val="24"/>
        </w:rPr>
      </w:pPr>
      <w:r>
        <w:rPr>
          <w:sz w:val="24"/>
        </w:rPr>
        <w:t>*Convirtiendo algunos monopolios privados en empresas públicas</w:t>
      </w:r>
    </w:p>
    <w:p w:rsidR="003D4D0C" w:rsidRDefault="00335C06" w:rsidP="003D4D0C">
      <w:pPr>
        <w:spacing w:after="0"/>
        <w:jc w:val="both"/>
        <w:rPr>
          <w:sz w:val="24"/>
        </w:rPr>
      </w:pPr>
      <w:r>
        <w:rPr>
          <w:sz w:val="24"/>
        </w:rPr>
        <w:t>*No haciendo nada (dejar que los mercados se regulen</w:t>
      </w:r>
      <w:r w:rsidR="003D4D0C">
        <w:rPr>
          <w:sz w:val="24"/>
        </w:rPr>
        <w:t>)</w:t>
      </w:r>
    </w:p>
    <w:p w:rsidR="00335C06" w:rsidRDefault="00335C06" w:rsidP="003D4D0C">
      <w:pPr>
        <w:spacing w:after="0"/>
        <w:jc w:val="both"/>
        <w:rPr>
          <w:sz w:val="24"/>
        </w:rPr>
      </w:pPr>
      <w:r>
        <w:rPr>
          <w:sz w:val="24"/>
        </w:rPr>
        <w:br/>
      </w:r>
      <w:r w:rsidRPr="00335C06">
        <w:rPr>
          <w:sz w:val="24"/>
          <w:u w:val="single"/>
        </w:rPr>
        <w:t>Dato</w:t>
      </w:r>
      <w:proofErr w:type="gramStart"/>
      <w:r w:rsidRPr="00335C06">
        <w:rPr>
          <w:sz w:val="24"/>
          <w:u w:val="single"/>
        </w:rPr>
        <w:t>!</w:t>
      </w:r>
      <w:proofErr w:type="gramEnd"/>
      <w:r>
        <w:rPr>
          <w:sz w:val="24"/>
        </w:rPr>
        <w:t xml:space="preserve"> En Chile existen leyes antimonopolio y un tribunal de Libre Competencia que regula a las empresas, por ejemplo hace unos años atrás la fiscalía económica se opuso a una fusión entre </w:t>
      </w:r>
      <w:proofErr w:type="spellStart"/>
      <w:r>
        <w:rPr>
          <w:sz w:val="24"/>
        </w:rPr>
        <w:t>Soprole</w:t>
      </w:r>
      <w:proofErr w:type="spellEnd"/>
      <w:r>
        <w:rPr>
          <w:sz w:val="24"/>
        </w:rPr>
        <w:t xml:space="preserve"> y </w:t>
      </w:r>
      <w:proofErr w:type="spellStart"/>
      <w:r>
        <w:rPr>
          <w:sz w:val="24"/>
        </w:rPr>
        <w:t>Nestle</w:t>
      </w:r>
      <w:proofErr w:type="spellEnd"/>
      <w:r>
        <w:rPr>
          <w:sz w:val="24"/>
        </w:rPr>
        <w:t>, ya que esta podría haber terminado en un eventual monopolio en el mercado de lácteos</w:t>
      </w:r>
      <w:r>
        <w:rPr>
          <w:rStyle w:val="Refdenotaalpie"/>
          <w:sz w:val="24"/>
        </w:rPr>
        <w:footnoteReference w:id="2"/>
      </w:r>
      <w:r>
        <w:rPr>
          <w:sz w:val="24"/>
        </w:rPr>
        <w:t>.</w:t>
      </w:r>
    </w:p>
    <w:p w:rsidR="003D4D0C" w:rsidRDefault="003D4D0C" w:rsidP="003D4D0C">
      <w:pPr>
        <w:spacing w:after="0"/>
        <w:jc w:val="both"/>
        <w:rPr>
          <w:sz w:val="24"/>
        </w:rPr>
      </w:pPr>
    </w:p>
    <w:p w:rsidR="003D4D0C" w:rsidRDefault="003D4D0C" w:rsidP="003D4D0C">
      <w:pPr>
        <w:spacing w:after="0"/>
        <w:jc w:val="both"/>
        <w:rPr>
          <w:sz w:val="24"/>
        </w:rPr>
      </w:pPr>
    </w:p>
    <w:p w:rsidR="003D4D0C" w:rsidRPr="00FE0EBE" w:rsidRDefault="003D4D0C" w:rsidP="003D4D0C">
      <w:pPr>
        <w:spacing w:after="0"/>
        <w:jc w:val="both"/>
        <w:rPr>
          <w:sz w:val="24"/>
        </w:rPr>
      </w:pPr>
    </w:p>
    <w:sectPr w:rsidR="003D4D0C" w:rsidRPr="00FE0EBE" w:rsidSect="0048277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828" w:rsidRDefault="00283828" w:rsidP="00335C06">
      <w:pPr>
        <w:spacing w:after="0" w:line="240" w:lineRule="auto"/>
      </w:pPr>
      <w:r>
        <w:separator/>
      </w:r>
    </w:p>
  </w:endnote>
  <w:endnote w:type="continuationSeparator" w:id="0">
    <w:p w:rsidR="00283828" w:rsidRDefault="00283828" w:rsidP="00335C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828" w:rsidRDefault="00283828" w:rsidP="00335C06">
      <w:pPr>
        <w:spacing w:after="0" w:line="240" w:lineRule="auto"/>
      </w:pPr>
      <w:r>
        <w:separator/>
      </w:r>
    </w:p>
  </w:footnote>
  <w:footnote w:type="continuationSeparator" w:id="0">
    <w:p w:rsidR="00283828" w:rsidRDefault="00283828" w:rsidP="00335C06">
      <w:pPr>
        <w:spacing w:after="0" w:line="240" w:lineRule="auto"/>
      </w:pPr>
      <w:r>
        <w:continuationSeparator/>
      </w:r>
    </w:p>
  </w:footnote>
  <w:footnote w:id="1">
    <w:p w:rsidR="0081583A" w:rsidRDefault="0081583A">
      <w:pPr>
        <w:pStyle w:val="Textonotapie"/>
      </w:pPr>
      <w:r>
        <w:rPr>
          <w:rStyle w:val="Refdenotaalpie"/>
        </w:rPr>
        <w:footnoteRef/>
      </w:r>
      <w:r>
        <w:t xml:space="preserve"> Es lo que les decía en la clase, no es necesario que sepan llegar a esto, pero les sirve para graficar, si quieren más detalles pueden revisar el cap.11 del </w:t>
      </w:r>
      <w:proofErr w:type="spellStart"/>
      <w:r>
        <w:t>Perloff</w:t>
      </w:r>
      <w:proofErr w:type="spellEnd"/>
      <w:r>
        <w:t xml:space="preserve">, página 5 del </w:t>
      </w:r>
      <w:proofErr w:type="spellStart"/>
      <w:r>
        <w:t>pdf</w:t>
      </w:r>
      <w:proofErr w:type="spellEnd"/>
      <w:r>
        <w:t xml:space="preserve"> </w:t>
      </w:r>
      <w:r>
        <w:sym w:font="Wingdings" w:char="F04A"/>
      </w:r>
      <w:r>
        <w:t xml:space="preserve"> </w:t>
      </w:r>
    </w:p>
  </w:footnote>
  <w:footnote w:id="2">
    <w:p w:rsidR="00335C06" w:rsidRDefault="00335C06">
      <w:pPr>
        <w:pStyle w:val="Textonotapie"/>
      </w:pPr>
      <w:r>
        <w:rPr>
          <w:rStyle w:val="Refdenotaalpie"/>
        </w:rPr>
        <w:footnoteRef/>
      </w:r>
      <w:r>
        <w:t xml:space="preserve"> </w:t>
      </w:r>
      <w:r w:rsidRPr="00335C06">
        <w:t>http://www.cooperativa.cl/noticias/economia/sectores-productivos/agricultura/fiscalia-nacional-economica-se-opuso-a-fusion-soprole-nestle/2011-03-08/192454.html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672475"/>
    <w:rsid w:val="0024492F"/>
    <w:rsid w:val="00283828"/>
    <w:rsid w:val="00335C06"/>
    <w:rsid w:val="003D4D0C"/>
    <w:rsid w:val="00482772"/>
    <w:rsid w:val="005D1191"/>
    <w:rsid w:val="00672475"/>
    <w:rsid w:val="006E071F"/>
    <w:rsid w:val="0081583A"/>
    <w:rsid w:val="00DE5A5A"/>
    <w:rsid w:val="00FE0EBE"/>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2772"/>
  </w:style>
  <w:style w:type="paragraph" w:styleId="Ttulo1">
    <w:name w:val="heading 1"/>
    <w:basedOn w:val="Normal"/>
    <w:next w:val="Normal"/>
    <w:link w:val="Ttulo1Car"/>
    <w:uiPriority w:val="9"/>
    <w:qFormat/>
    <w:rsid w:val="006E07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6E07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071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6E071F"/>
    <w:rPr>
      <w:rFonts w:asciiTheme="majorHAnsi" w:eastAsiaTheme="majorEastAsia" w:hAnsiTheme="majorHAnsi" w:cstheme="majorBidi"/>
      <w:b/>
      <w:bCs/>
      <w:color w:val="4F81BD" w:themeColor="accent1"/>
      <w:sz w:val="26"/>
      <w:szCs w:val="26"/>
    </w:rPr>
  </w:style>
  <w:style w:type="paragraph" w:styleId="Ttulo">
    <w:name w:val="Title"/>
    <w:basedOn w:val="Normal"/>
    <w:next w:val="Normal"/>
    <w:link w:val="TtuloCar"/>
    <w:uiPriority w:val="10"/>
    <w:qFormat/>
    <w:rsid w:val="006E07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6E071F"/>
    <w:rPr>
      <w:rFonts w:asciiTheme="majorHAnsi" w:eastAsiaTheme="majorEastAsia" w:hAnsiTheme="majorHAnsi" w:cstheme="majorBidi"/>
      <w:color w:val="17365D" w:themeColor="text2" w:themeShade="BF"/>
      <w:spacing w:val="5"/>
      <w:kern w:val="28"/>
      <w:sz w:val="52"/>
      <w:szCs w:val="52"/>
    </w:rPr>
  </w:style>
  <w:style w:type="paragraph" w:styleId="Textonotapie">
    <w:name w:val="footnote text"/>
    <w:basedOn w:val="Normal"/>
    <w:link w:val="TextonotapieCar"/>
    <w:uiPriority w:val="99"/>
    <w:semiHidden/>
    <w:unhideWhenUsed/>
    <w:rsid w:val="00335C0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335C06"/>
    <w:rPr>
      <w:sz w:val="20"/>
      <w:szCs w:val="20"/>
    </w:rPr>
  </w:style>
  <w:style w:type="character" w:styleId="Refdenotaalpie">
    <w:name w:val="footnote reference"/>
    <w:basedOn w:val="Fuentedeprrafopredeter"/>
    <w:uiPriority w:val="99"/>
    <w:semiHidden/>
    <w:unhideWhenUsed/>
    <w:rsid w:val="00335C06"/>
    <w:rPr>
      <w:vertAlign w:val="superscript"/>
    </w:rPr>
  </w:style>
  <w:style w:type="paragraph" w:styleId="Encabezado">
    <w:name w:val="header"/>
    <w:basedOn w:val="Normal"/>
    <w:link w:val="EncabezadoCar"/>
    <w:uiPriority w:val="99"/>
    <w:semiHidden/>
    <w:unhideWhenUsed/>
    <w:rsid w:val="003D4D0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3D4D0C"/>
  </w:style>
  <w:style w:type="paragraph" w:styleId="Piedepgina">
    <w:name w:val="footer"/>
    <w:basedOn w:val="Normal"/>
    <w:link w:val="PiedepginaCar"/>
    <w:uiPriority w:val="99"/>
    <w:semiHidden/>
    <w:unhideWhenUsed/>
    <w:rsid w:val="003D4D0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3D4D0C"/>
  </w:style>
  <w:style w:type="paragraph" w:styleId="Textodeglobo">
    <w:name w:val="Balloon Text"/>
    <w:basedOn w:val="Normal"/>
    <w:link w:val="TextodegloboCar"/>
    <w:uiPriority w:val="99"/>
    <w:semiHidden/>
    <w:unhideWhenUsed/>
    <w:rsid w:val="008158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158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097441-B34D-4778-9E30-BBB4B0853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615</Words>
  <Characters>3386</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Maira Oyarzún</dc:creator>
  <cp:lastModifiedBy>Cynthia</cp:lastModifiedBy>
  <cp:revision>2</cp:revision>
  <dcterms:created xsi:type="dcterms:W3CDTF">2013-11-18T20:27:00Z</dcterms:created>
  <dcterms:modified xsi:type="dcterms:W3CDTF">2013-11-18T21:40:00Z</dcterms:modified>
</cp:coreProperties>
</file>